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C0994" w14:textId="5F5AAFFA" w:rsidR="002A04D3" w:rsidRPr="002A04D3" w:rsidRDefault="002A04D3" w:rsidP="00116470">
      <w:pPr>
        <w:shd w:val="clear" w:color="auto" w:fill="FFFFFF"/>
        <w:spacing w:after="150" w:line="240" w:lineRule="auto"/>
        <w:jc w:val="center"/>
        <w:rPr>
          <w:rFonts w:ascii="Helvetica" w:eastAsia="Times New Roman" w:hAnsi="Helvetica" w:cs="Helvetica"/>
          <w:b/>
          <w:bCs/>
          <w:color w:val="275FF1"/>
          <w:sz w:val="24"/>
          <w:szCs w:val="24"/>
          <w:lang w:eastAsia="fr-MA"/>
        </w:rPr>
      </w:pPr>
      <w:r w:rsidRPr="004F55EA">
        <w:rPr>
          <w:rFonts w:ascii="Helvetica" w:eastAsia="Times New Roman" w:hAnsi="Helvetica" w:cs="Helvetica"/>
          <w:b/>
          <w:bCs/>
          <w:color w:val="275FF1"/>
          <w:sz w:val="24"/>
          <w:szCs w:val="24"/>
          <w:lang w:eastAsia="fr-MA"/>
        </w:rPr>
        <w:t>Convention-spécifique de partenariat relative à l’appui au programme national des infrastructures et équipements forestiers au Maroc</w:t>
      </w:r>
    </w:p>
    <w:p w14:paraId="04984A36" w14:textId="4FE61304" w:rsidR="002A04D3" w:rsidRPr="002A04D3" w:rsidRDefault="002A04D3" w:rsidP="002A04D3">
      <w:pPr>
        <w:shd w:val="clear" w:color="auto" w:fill="FFFFFF"/>
        <w:spacing w:after="150" w:line="240" w:lineRule="auto"/>
        <w:jc w:val="both"/>
        <w:rPr>
          <w:rFonts w:ascii="Helvetica" w:eastAsia="Times New Roman" w:hAnsi="Helvetica" w:cs="Helvetica"/>
          <w:color w:val="666666"/>
          <w:sz w:val="21"/>
          <w:szCs w:val="21"/>
          <w:lang w:eastAsia="fr-MA"/>
        </w:rPr>
      </w:pPr>
      <w:r w:rsidRPr="002A04D3">
        <w:rPr>
          <w:rFonts w:ascii="Helvetica" w:eastAsia="Times New Roman" w:hAnsi="Helvetica" w:cs="Helvetica"/>
          <w:b/>
          <w:bCs/>
          <w:color w:val="FF6600"/>
          <w:sz w:val="24"/>
          <w:szCs w:val="24"/>
          <w:lang w:eastAsia="fr-MA"/>
        </w:rPr>
        <w:t>Partenaires :</w:t>
      </w:r>
      <w:r>
        <w:rPr>
          <w:rFonts w:ascii="Helvetica" w:eastAsia="Times New Roman" w:hAnsi="Helvetica" w:cs="Helvetica"/>
          <w:color w:val="666666"/>
          <w:sz w:val="24"/>
          <w:szCs w:val="24"/>
          <w:lang w:eastAsia="fr-MA"/>
        </w:rPr>
        <w:t xml:space="preserve"> </w:t>
      </w:r>
      <w:r w:rsidRPr="009820EA">
        <w:rPr>
          <w:rFonts w:ascii="Garamond" w:hAnsi="Garamond"/>
          <w:sz w:val="26"/>
          <w:szCs w:val="26"/>
          <w:lang w:val="fr-FR"/>
        </w:rPr>
        <w:t>L</w:t>
      </w:r>
      <w:r w:rsidRPr="002A04D3">
        <w:rPr>
          <w:rFonts w:ascii="Garamond" w:hAnsi="Garamond"/>
          <w:sz w:val="26"/>
          <w:szCs w:val="26"/>
          <w:lang w:val="fr-FR"/>
        </w:rPr>
        <w:t xml:space="preserve">e </w:t>
      </w:r>
      <w:r w:rsidR="00425F98" w:rsidRPr="002A04D3">
        <w:rPr>
          <w:rFonts w:ascii="Garamond" w:hAnsi="Garamond"/>
          <w:sz w:val="26"/>
          <w:szCs w:val="26"/>
          <w:lang w:val="fr-FR"/>
        </w:rPr>
        <w:t>ministère de l’Agriculture</w:t>
      </w:r>
      <w:r w:rsidRPr="002A04D3">
        <w:rPr>
          <w:rFonts w:ascii="Garamond" w:hAnsi="Garamond"/>
          <w:sz w:val="26"/>
          <w:szCs w:val="26"/>
          <w:lang w:val="fr-FR"/>
        </w:rPr>
        <w:t>, de la pèche maritime, du développement rural et des eaux et forêts</w:t>
      </w:r>
      <w:r w:rsidR="00425F98">
        <w:rPr>
          <w:rFonts w:ascii="Garamond" w:hAnsi="Garamond"/>
          <w:sz w:val="26"/>
          <w:szCs w:val="26"/>
          <w:lang w:val="fr-FR"/>
        </w:rPr>
        <w:t xml:space="preserve"> </w:t>
      </w:r>
      <w:r w:rsidR="00425F98" w:rsidRPr="00425F98">
        <w:rPr>
          <w:rFonts w:ascii="Garamond" w:hAnsi="Garamond"/>
          <w:sz w:val="26"/>
          <w:szCs w:val="26"/>
          <w:lang w:val="fr-FR"/>
        </w:rPr>
        <w:t xml:space="preserve">Département </w:t>
      </w:r>
      <w:r w:rsidR="00425F98">
        <w:rPr>
          <w:rFonts w:ascii="Garamond" w:hAnsi="Garamond"/>
          <w:sz w:val="26"/>
          <w:szCs w:val="26"/>
          <w:lang w:val="fr-FR"/>
        </w:rPr>
        <w:t>d</w:t>
      </w:r>
      <w:r w:rsidR="00425F98" w:rsidRPr="00425F98">
        <w:rPr>
          <w:rFonts w:ascii="Garamond" w:hAnsi="Garamond"/>
          <w:sz w:val="26"/>
          <w:szCs w:val="26"/>
          <w:lang w:val="fr-FR"/>
        </w:rPr>
        <w:t>es eaux et forêts</w:t>
      </w:r>
      <w:r w:rsidR="00425F98">
        <w:rPr>
          <w:rFonts w:ascii="Garamond" w:hAnsi="Garamond"/>
          <w:sz w:val="26"/>
          <w:szCs w:val="26"/>
          <w:lang w:val="fr-FR"/>
        </w:rPr>
        <w:t xml:space="preserve"> (</w:t>
      </w:r>
      <w:r w:rsidR="00425F98" w:rsidRPr="00425F98">
        <w:rPr>
          <w:rFonts w:ascii="Garamond" w:hAnsi="Garamond"/>
          <w:sz w:val="26"/>
          <w:szCs w:val="26"/>
          <w:lang w:val="fr-FR"/>
        </w:rPr>
        <w:t xml:space="preserve">la Direction </w:t>
      </w:r>
      <w:r w:rsidR="00425F98">
        <w:rPr>
          <w:rFonts w:ascii="Garamond" w:hAnsi="Garamond"/>
          <w:sz w:val="26"/>
          <w:szCs w:val="26"/>
          <w:lang w:val="fr-FR"/>
        </w:rPr>
        <w:t>d</w:t>
      </w:r>
      <w:r w:rsidR="00425F98" w:rsidRPr="00425F98">
        <w:rPr>
          <w:rFonts w:ascii="Garamond" w:hAnsi="Garamond"/>
          <w:sz w:val="26"/>
          <w:szCs w:val="26"/>
          <w:lang w:val="fr-FR"/>
        </w:rPr>
        <w:t>u Domaine Forestier, des Affaires Juridiques et du Contentieux</w:t>
      </w:r>
      <w:r w:rsidR="00425F98" w:rsidRPr="00425F98">
        <w:rPr>
          <w:rFonts w:ascii="Garamond" w:hAnsi="Garamond"/>
          <w:sz w:val="26"/>
          <w:szCs w:val="26"/>
          <w:lang w:val="fr-FR"/>
        </w:rPr>
        <w:t>)</w:t>
      </w:r>
      <w:r w:rsidRPr="009820EA">
        <w:rPr>
          <w:rFonts w:ascii="Garamond" w:hAnsi="Garamond"/>
          <w:sz w:val="26"/>
          <w:szCs w:val="26"/>
          <w:lang w:val="fr-FR"/>
        </w:rPr>
        <w:t xml:space="preserve"> </w:t>
      </w:r>
      <w:r w:rsidRPr="002A04D3">
        <w:rPr>
          <w:rFonts w:ascii="Garamond" w:hAnsi="Garamond"/>
          <w:sz w:val="26"/>
          <w:szCs w:val="26"/>
          <w:lang w:val="fr-FR"/>
        </w:rPr>
        <w:t>et l’association Targa-AIDE</w:t>
      </w:r>
      <w:r w:rsidR="00425F98">
        <w:rPr>
          <w:rFonts w:ascii="Garamond" w:hAnsi="Garamond"/>
          <w:sz w:val="26"/>
          <w:szCs w:val="26"/>
          <w:lang w:val="fr-FR"/>
        </w:rPr>
        <w:t>.</w:t>
      </w:r>
    </w:p>
    <w:p w14:paraId="6163AC1E" w14:textId="6466BCD1" w:rsidR="002A04D3" w:rsidRPr="002A04D3" w:rsidRDefault="002A04D3" w:rsidP="002A04D3">
      <w:pPr>
        <w:shd w:val="clear" w:color="auto" w:fill="FFFFFF"/>
        <w:spacing w:after="150" w:line="240" w:lineRule="auto"/>
        <w:jc w:val="both"/>
        <w:rPr>
          <w:rFonts w:ascii="Garamond" w:hAnsi="Garamond"/>
          <w:sz w:val="26"/>
          <w:szCs w:val="26"/>
          <w:lang w:val="fr-FR"/>
        </w:rPr>
      </w:pPr>
      <w:r w:rsidRPr="002A04D3">
        <w:rPr>
          <w:rFonts w:ascii="Helvetica" w:eastAsia="Times New Roman" w:hAnsi="Helvetica" w:cs="Helvetica"/>
          <w:b/>
          <w:bCs/>
          <w:color w:val="FF6600"/>
          <w:sz w:val="24"/>
          <w:szCs w:val="24"/>
          <w:lang w:eastAsia="fr-MA"/>
        </w:rPr>
        <w:t>Durée </w:t>
      </w:r>
      <w:r w:rsidRPr="002A04D3">
        <w:rPr>
          <w:rFonts w:ascii="Helvetica" w:eastAsia="Times New Roman" w:hAnsi="Helvetica" w:cs="Helvetica"/>
          <w:b/>
          <w:bCs/>
          <w:color w:val="666666"/>
          <w:sz w:val="24"/>
          <w:szCs w:val="24"/>
          <w:lang w:eastAsia="fr-MA"/>
        </w:rPr>
        <w:t>:</w:t>
      </w:r>
      <w:r w:rsidRPr="002A04D3">
        <w:rPr>
          <w:rFonts w:ascii="Helvetica" w:eastAsia="Times New Roman" w:hAnsi="Helvetica" w:cs="Helvetica"/>
          <w:color w:val="666666"/>
          <w:sz w:val="24"/>
          <w:szCs w:val="24"/>
          <w:lang w:eastAsia="fr-MA"/>
        </w:rPr>
        <w:t> </w:t>
      </w:r>
      <w:r w:rsidRPr="009820EA">
        <w:rPr>
          <w:rFonts w:ascii="Garamond" w:hAnsi="Garamond"/>
          <w:sz w:val="26"/>
          <w:szCs w:val="26"/>
          <w:lang w:val="fr-FR"/>
        </w:rPr>
        <w:t>février 2021-Juillet 2022 (18 mois)</w:t>
      </w:r>
      <w:r w:rsidR="00425F98">
        <w:rPr>
          <w:rFonts w:ascii="Garamond" w:hAnsi="Garamond"/>
          <w:sz w:val="26"/>
          <w:szCs w:val="26"/>
          <w:lang w:val="fr-FR"/>
        </w:rPr>
        <w:t>.</w:t>
      </w:r>
    </w:p>
    <w:p w14:paraId="47CEE512" w14:textId="2A782498" w:rsidR="002A04D3" w:rsidRDefault="002A04D3" w:rsidP="002A04D3">
      <w:pPr>
        <w:shd w:val="clear" w:color="auto" w:fill="FFFFFF"/>
        <w:spacing w:after="150" w:line="240" w:lineRule="auto"/>
        <w:jc w:val="both"/>
        <w:rPr>
          <w:rFonts w:ascii="Helvetica" w:eastAsia="Times New Roman" w:hAnsi="Helvetica" w:cs="Helvetica"/>
          <w:b/>
          <w:bCs/>
          <w:color w:val="FF6600"/>
          <w:sz w:val="24"/>
          <w:szCs w:val="24"/>
          <w:lang w:eastAsia="fr-MA"/>
        </w:rPr>
      </w:pPr>
      <w:r w:rsidRPr="002A04D3">
        <w:rPr>
          <w:rFonts w:ascii="Helvetica" w:eastAsia="Times New Roman" w:hAnsi="Helvetica" w:cs="Helvetica"/>
          <w:b/>
          <w:bCs/>
          <w:color w:val="FF6600"/>
          <w:sz w:val="24"/>
          <w:szCs w:val="24"/>
          <w:lang w:eastAsia="fr-MA"/>
        </w:rPr>
        <w:t>Justification :</w:t>
      </w:r>
    </w:p>
    <w:p w14:paraId="5E20B535" w14:textId="627870F6" w:rsidR="00C54B26" w:rsidRDefault="00F27C33" w:rsidP="00425F98">
      <w:pPr>
        <w:shd w:val="clear" w:color="auto" w:fill="FFFFFF"/>
        <w:spacing w:after="0" w:line="240" w:lineRule="auto"/>
        <w:jc w:val="both"/>
        <w:rPr>
          <w:rFonts w:ascii="Garamond" w:hAnsi="Garamond"/>
          <w:sz w:val="26"/>
          <w:szCs w:val="26"/>
          <w:lang w:val="fr-FR"/>
        </w:rPr>
      </w:pPr>
      <w:r w:rsidRPr="00F27C33">
        <w:rPr>
          <w:rFonts w:ascii="Garamond" w:hAnsi="Garamond"/>
          <w:bCs/>
          <w:sz w:val="26"/>
          <w:szCs w:val="26"/>
        </w:rPr>
        <w:t>Le patrimoine bâti des équipements forestiers et le réseau d’infrastructures forestières constru</w:t>
      </w:r>
      <w:r>
        <w:rPr>
          <w:rFonts w:ascii="Garamond" w:hAnsi="Garamond"/>
          <w:bCs/>
          <w:sz w:val="26"/>
          <w:szCs w:val="26"/>
        </w:rPr>
        <w:t>i</w:t>
      </w:r>
      <w:r w:rsidRPr="00F27C33">
        <w:rPr>
          <w:rFonts w:ascii="Garamond" w:hAnsi="Garamond"/>
          <w:bCs/>
          <w:sz w:val="26"/>
          <w:szCs w:val="26"/>
        </w:rPr>
        <w:t>t au fil des années par l’administration des eaux et Forêts</w:t>
      </w:r>
      <w:r>
        <w:rPr>
          <w:rFonts w:ascii="Garamond" w:hAnsi="Garamond"/>
          <w:sz w:val="26"/>
          <w:szCs w:val="26"/>
          <w:lang w:val="fr-FR"/>
        </w:rPr>
        <w:t>,</w:t>
      </w:r>
      <w:r w:rsidR="009820EA">
        <w:rPr>
          <w:rFonts w:ascii="Garamond" w:hAnsi="Garamond"/>
          <w:sz w:val="26"/>
          <w:szCs w:val="26"/>
          <w:lang w:val="fr-FR"/>
        </w:rPr>
        <w:t xml:space="preserve"> </w:t>
      </w:r>
      <w:r>
        <w:rPr>
          <w:rFonts w:ascii="Garamond" w:hAnsi="Garamond"/>
          <w:sz w:val="26"/>
          <w:szCs w:val="26"/>
          <w:lang w:val="fr-FR"/>
        </w:rPr>
        <w:t>revêt une grande importance pour répondre principalement aux besoins de gestion du Patrimoine National Forestier, que ce soit en termes de protection contre les délits forestiers et de feux de forêts, ou en matière</w:t>
      </w:r>
      <w:r>
        <w:rPr>
          <w:rFonts w:ascii="Garamond" w:hAnsi="Garamond"/>
          <w:sz w:val="26"/>
          <w:szCs w:val="26"/>
          <w:lang w:val="fr-FR"/>
        </w:rPr>
        <w:t xml:space="preserve"> </w:t>
      </w:r>
      <w:r w:rsidR="00C80696">
        <w:rPr>
          <w:rFonts w:ascii="Garamond" w:hAnsi="Garamond"/>
          <w:sz w:val="26"/>
          <w:szCs w:val="26"/>
          <w:lang w:val="fr-FR"/>
        </w:rPr>
        <w:t>de désenclavement de la population,</w:t>
      </w:r>
      <w:r>
        <w:rPr>
          <w:rFonts w:ascii="Garamond" w:hAnsi="Garamond"/>
          <w:sz w:val="26"/>
          <w:szCs w:val="26"/>
          <w:lang w:val="fr-FR"/>
        </w:rPr>
        <w:t xml:space="preserve"> de conservation, de développement et de valorisation des espaces et des ressources forestières.</w:t>
      </w:r>
    </w:p>
    <w:p w14:paraId="42B59E9A" w14:textId="704D3C72" w:rsidR="00C80696" w:rsidRDefault="009820EA" w:rsidP="00425F98">
      <w:pPr>
        <w:pStyle w:val="Paragraphedeliste"/>
        <w:spacing w:after="0"/>
        <w:ind w:left="0"/>
        <w:jc w:val="both"/>
        <w:rPr>
          <w:rFonts w:ascii="Garamond" w:hAnsi="Garamond"/>
          <w:sz w:val="26"/>
          <w:szCs w:val="26"/>
          <w:lang w:val="fr-FR"/>
        </w:rPr>
      </w:pPr>
      <w:r>
        <w:rPr>
          <w:rFonts w:ascii="Garamond" w:hAnsi="Garamond"/>
          <w:sz w:val="26"/>
          <w:szCs w:val="26"/>
          <w:lang w:val="fr-FR"/>
        </w:rPr>
        <w:t>T</w:t>
      </w:r>
      <w:r w:rsidR="00C80696">
        <w:rPr>
          <w:rFonts w:ascii="Garamond" w:hAnsi="Garamond"/>
          <w:sz w:val="26"/>
          <w:szCs w:val="26"/>
          <w:lang w:val="fr-FR"/>
        </w:rPr>
        <w:t>enant compte</w:t>
      </w:r>
      <w:r w:rsidR="00C80696">
        <w:rPr>
          <w:rFonts w:ascii="Garamond" w:hAnsi="Garamond"/>
          <w:sz w:val="26"/>
          <w:szCs w:val="26"/>
          <w:lang w:val="fr-FR"/>
        </w:rPr>
        <w:t xml:space="preserve"> de l’importance du développement et du maintien en bon état d</w:t>
      </w:r>
      <w:r w:rsidR="00C80696">
        <w:rPr>
          <w:rFonts w:ascii="Garamond" w:hAnsi="Garamond"/>
          <w:sz w:val="26"/>
          <w:szCs w:val="26"/>
          <w:lang w:val="fr-FR"/>
        </w:rPr>
        <w:t>u</w:t>
      </w:r>
      <w:r w:rsidR="00C80696">
        <w:rPr>
          <w:rFonts w:ascii="Garamond" w:hAnsi="Garamond"/>
          <w:sz w:val="26"/>
          <w:szCs w:val="26"/>
          <w:lang w:val="fr-FR"/>
        </w:rPr>
        <w:t xml:space="preserve"> réseau</w:t>
      </w:r>
      <w:r w:rsidR="00C80696">
        <w:rPr>
          <w:rFonts w:ascii="Garamond" w:hAnsi="Garamond"/>
          <w:sz w:val="26"/>
          <w:szCs w:val="26"/>
          <w:lang w:val="fr-FR"/>
        </w:rPr>
        <w:t xml:space="preserve"> de la voirie</w:t>
      </w:r>
      <w:r w:rsidR="00C80696">
        <w:rPr>
          <w:rFonts w:ascii="Garamond" w:hAnsi="Garamond"/>
          <w:sz w:val="26"/>
          <w:szCs w:val="26"/>
          <w:lang w:val="fr-FR"/>
        </w:rPr>
        <w:t xml:space="preserve"> de desserte pour accomplir convenablement les missions</w:t>
      </w:r>
      <w:r w:rsidR="00C80696">
        <w:rPr>
          <w:rFonts w:ascii="Garamond" w:hAnsi="Garamond"/>
          <w:sz w:val="26"/>
          <w:szCs w:val="26"/>
          <w:lang w:val="fr-FR"/>
        </w:rPr>
        <w:t xml:space="preserve"> qui lui sont allouées</w:t>
      </w:r>
      <w:r w:rsidR="00C80696">
        <w:rPr>
          <w:rFonts w:ascii="Garamond" w:hAnsi="Garamond"/>
          <w:sz w:val="26"/>
          <w:szCs w:val="26"/>
          <w:lang w:val="fr-FR"/>
        </w:rPr>
        <w:t>, des améliorations sans cesse ont été apportées aux méthodes, techniques et procédés de programmation, financement, programmation et contrôle des projets de desserte forestière.</w:t>
      </w:r>
    </w:p>
    <w:p w14:paraId="0D9733B0" w14:textId="7A15AD64" w:rsidR="00C80696" w:rsidRPr="00C80696" w:rsidRDefault="009820EA" w:rsidP="00425F98">
      <w:pPr>
        <w:spacing w:after="0"/>
        <w:rPr>
          <w:rFonts w:ascii="Garamond" w:hAnsi="Garamond"/>
          <w:sz w:val="26"/>
          <w:szCs w:val="26"/>
        </w:rPr>
      </w:pPr>
      <w:r>
        <w:rPr>
          <w:rFonts w:ascii="Garamond" w:hAnsi="Garamond"/>
          <w:sz w:val="26"/>
          <w:szCs w:val="26"/>
          <w:lang w:val="fr-FR"/>
        </w:rPr>
        <w:t xml:space="preserve">Ce patrimoine </w:t>
      </w:r>
      <w:r w:rsidR="00C80696" w:rsidRPr="00C80696">
        <w:rPr>
          <w:rFonts w:ascii="Garamond" w:hAnsi="Garamond"/>
          <w:sz w:val="26"/>
          <w:szCs w:val="26"/>
          <w:lang w:val="fr-FR"/>
        </w:rPr>
        <w:t>est caractérisé d’une part, par la vieillesse puisque la majorité des unités</w:t>
      </w:r>
      <w:r>
        <w:rPr>
          <w:rFonts w:ascii="Garamond" w:hAnsi="Garamond"/>
          <w:sz w:val="26"/>
          <w:szCs w:val="26"/>
          <w:lang w:val="fr-FR"/>
        </w:rPr>
        <w:t xml:space="preserve"> et des pistes</w:t>
      </w:r>
      <w:r w:rsidR="00C80696" w:rsidRPr="00C80696">
        <w:rPr>
          <w:rFonts w:ascii="Garamond" w:hAnsi="Garamond"/>
          <w:sz w:val="26"/>
          <w:szCs w:val="26"/>
          <w:lang w:val="fr-FR"/>
        </w:rPr>
        <w:t xml:space="preserve"> ont dépassé la durée de vie conventionnelle et d’autre part, par la diversité compte tenu de la nécessité d’adapter le concept architectural aux aléas de climat et aux différents écosystèmes forestiers.</w:t>
      </w:r>
    </w:p>
    <w:p w14:paraId="7CA6AF2A" w14:textId="606C33BE" w:rsidR="00C80696" w:rsidRDefault="00C80696" w:rsidP="00425F98">
      <w:pPr>
        <w:spacing w:after="0"/>
        <w:rPr>
          <w:rFonts w:ascii="Garamond" w:hAnsi="Garamond"/>
          <w:sz w:val="26"/>
          <w:szCs w:val="26"/>
          <w:lang w:val="fr-FR"/>
        </w:rPr>
      </w:pPr>
      <w:r w:rsidRPr="00C80696">
        <w:rPr>
          <w:rFonts w:ascii="Garamond" w:hAnsi="Garamond"/>
          <w:sz w:val="26"/>
          <w:szCs w:val="26"/>
          <w:lang w:val="fr-FR"/>
        </w:rPr>
        <w:t xml:space="preserve">L’importance de ce patrimoine va s’amplifier avec l’avènement de la nouvelle stratégie du secteur forestier « Forêts du Maroc 2020-2030 » lancée SM </w:t>
      </w:r>
      <w:r w:rsidRPr="00C80696">
        <w:rPr>
          <w:rFonts w:ascii="Garamond" w:hAnsi="Garamond"/>
          <w:sz w:val="26"/>
          <w:szCs w:val="26"/>
          <w:u w:val="single"/>
          <w:lang w:val="fr-FR"/>
        </w:rPr>
        <w:t>Le Roi Mohammed VI le 13 février 2020</w:t>
      </w:r>
      <w:r w:rsidRPr="00C80696">
        <w:rPr>
          <w:rFonts w:ascii="Garamond" w:hAnsi="Garamond"/>
          <w:sz w:val="26"/>
          <w:szCs w:val="26"/>
          <w:lang w:val="fr-FR"/>
        </w:rPr>
        <w:t xml:space="preserve">. </w:t>
      </w:r>
      <w:r w:rsidRPr="007A1428">
        <w:rPr>
          <w:rFonts w:ascii="Garamond" w:hAnsi="Garamond"/>
          <w:sz w:val="26"/>
          <w:szCs w:val="26"/>
          <w:lang w:val="fr-FR"/>
        </w:rPr>
        <w:t xml:space="preserve">Cette stratégie ambitionne de rendre le secteur forestier plus compétitif et durable, à travers un </w:t>
      </w:r>
      <w:r>
        <w:rPr>
          <w:rFonts w:ascii="Garamond" w:hAnsi="Garamond"/>
          <w:sz w:val="26"/>
          <w:szCs w:val="26"/>
          <w:lang w:val="fr-FR"/>
        </w:rPr>
        <w:t xml:space="preserve">nouveau modèle </w:t>
      </w:r>
      <w:r w:rsidRPr="000E7FB8">
        <w:rPr>
          <w:rFonts w:ascii="Garamond" w:hAnsi="Garamond"/>
          <w:sz w:val="26"/>
          <w:szCs w:val="26"/>
          <w:lang w:val="fr-FR"/>
        </w:rPr>
        <w:t>de développement de la forêt marocaine</w:t>
      </w:r>
      <w:r>
        <w:rPr>
          <w:rFonts w:ascii="Garamond" w:hAnsi="Garamond"/>
          <w:sz w:val="26"/>
          <w:szCs w:val="26"/>
          <w:lang w:val="fr-FR"/>
        </w:rPr>
        <w:t>.</w:t>
      </w:r>
    </w:p>
    <w:p w14:paraId="1404BCB2" w14:textId="5392E078" w:rsidR="001F7F38" w:rsidRPr="002A04D3" w:rsidRDefault="009820EA" w:rsidP="00425F98">
      <w:pPr>
        <w:spacing w:after="0"/>
        <w:rPr>
          <w:rFonts w:ascii="Helvetica" w:eastAsia="Times New Roman" w:hAnsi="Helvetica" w:cs="Helvetica"/>
          <w:color w:val="666666"/>
          <w:sz w:val="21"/>
          <w:szCs w:val="21"/>
          <w:lang w:eastAsia="fr-MA"/>
        </w:rPr>
      </w:pPr>
      <w:r w:rsidRPr="009820EA">
        <w:rPr>
          <w:rFonts w:ascii="Garamond" w:hAnsi="Garamond"/>
          <w:sz w:val="26"/>
          <w:szCs w:val="26"/>
        </w:rPr>
        <w:t>L</w:t>
      </w:r>
      <w:r>
        <w:rPr>
          <w:rFonts w:ascii="Garamond" w:hAnsi="Garamond"/>
          <w:sz w:val="26"/>
          <w:szCs w:val="26"/>
        </w:rPr>
        <w:t>a</w:t>
      </w:r>
      <w:r w:rsidRPr="009820EA">
        <w:rPr>
          <w:rFonts w:ascii="Garamond" w:hAnsi="Garamond"/>
          <w:sz w:val="26"/>
          <w:szCs w:val="26"/>
        </w:rPr>
        <w:t xml:space="preserve"> présent</w:t>
      </w:r>
      <w:r>
        <w:rPr>
          <w:rFonts w:ascii="Garamond" w:hAnsi="Garamond"/>
          <w:sz w:val="26"/>
          <w:szCs w:val="26"/>
        </w:rPr>
        <w:t>e</w:t>
      </w:r>
      <w:r w:rsidRPr="009820EA">
        <w:rPr>
          <w:rFonts w:ascii="Garamond" w:hAnsi="Garamond"/>
          <w:sz w:val="26"/>
          <w:szCs w:val="26"/>
        </w:rPr>
        <w:t xml:space="preserve"> </w:t>
      </w:r>
      <w:r>
        <w:rPr>
          <w:rFonts w:ascii="Garamond" w:hAnsi="Garamond"/>
          <w:sz w:val="26"/>
          <w:szCs w:val="26"/>
        </w:rPr>
        <w:t>convention-spécifique</w:t>
      </w:r>
      <w:r w:rsidRPr="009820EA">
        <w:rPr>
          <w:rFonts w:ascii="Garamond" w:hAnsi="Garamond"/>
          <w:sz w:val="26"/>
          <w:szCs w:val="26"/>
        </w:rPr>
        <w:t xml:space="preserve"> d'accompagnement est un appui à la mise en œuvre </w:t>
      </w:r>
      <w:r w:rsidRPr="00C80696">
        <w:rPr>
          <w:rFonts w:ascii="Garamond" w:hAnsi="Garamond"/>
          <w:sz w:val="26"/>
          <w:szCs w:val="26"/>
          <w:lang w:val="fr-FR"/>
        </w:rPr>
        <w:t>de la nouvelle stratégie du secteur forestier</w:t>
      </w:r>
      <w:r w:rsidR="00777F78">
        <w:rPr>
          <w:rFonts w:ascii="Garamond" w:hAnsi="Garamond"/>
          <w:sz w:val="26"/>
          <w:szCs w:val="26"/>
        </w:rPr>
        <w:t xml:space="preserve"> </w:t>
      </w:r>
      <w:r w:rsidR="00777F78" w:rsidRPr="00C80696">
        <w:rPr>
          <w:rFonts w:ascii="Garamond" w:hAnsi="Garamond"/>
          <w:sz w:val="26"/>
          <w:szCs w:val="26"/>
          <w:lang w:val="fr-FR"/>
        </w:rPr>
        <w:t>« Forêts du Maroc 2020-2030 »</w:t>
      </w:r>
      <w:r w:rsidR="00777F78">
        <w:rPr>
          <w:rFonts w:ascii="Garamond" w:hAnsi="Garamond"/>
          <w:sz w:val="26"/>
          <w:szCs w:val="26"/>
          <w:lang w:val="fr-FR"/>
        </w:rPr>
        <w:t>.</w:t>
      </w:r>
      <w:r w:rsidR="002A04D3" w:rsidRPr="002A04D3">
        <w:rPr>
          <w:rFonts w:ascii="Helvetica" w:eastAsia="Times New Roman" w:hAnsi="Helvetica" w:cs="Helvetica"/>
          <w:color w:val="666666"/>
          <w:sz w:val="21"/>
          <w:szCs w:val="21"/>
          <w:lang w:eastAsia="fr-MA"/>
        </w:rPr>
        <w:t> </w:t>
      </w:r>
    </w:p>
    <w:p w14:paraId="4ADF6E70" w14:textId="45A598A8" w:rsidR="002A04D3" w:rsidRDefault="002A04D3" w:rsidP="002A04D3">
      <w:pPr>
        <w:shd w:val="clear" w:color="auto" w:fill="FFFFFF"/>
        <w:spacing w:after="150" w:line="240" w:lineRule="auto"/>
        <w:jc w:val="both"/>
        <w:rPr>
          <w:rFonts w:ascii="Helvetica" w:eastAsia="Times New Roman" w:hAnsi="Helvetica" w:cs="Helvetica"/>
          <w:b/>
          <w:bCs/>
          <w:color w:val="FF6600"/>
          <w:sz w:val="24"/>
          <w:szCs w:val="24"/>
          <w:lang w:eastAsia="fr-MA"/>
        </w:rPr>
      </w:pPr>
      <w:r w:rsidRPr="002A04D3">
        <w:rPr>
          <w:rFonts w:ascii="Helvetica" w:eastAsia="Times New Roman" w:hAnsi="Helvetica" w:cs="Helvetica"/>
          <w:b/>
          <w:bCs/>
          <w:color w:val="FF6600"/>
          <w:sz w:val="24"/>
          <w:szCs w:val="24"/>
          <w:lang w:eastAsia="fr-MA"/>
        </w:rPr>
        <w:t>Objectifs :</w:t>
      </w:r>
    </w:p>
    <w:p w14:paraId="75891DE5" w14:textId="77777777" w:rsidR="00C54B26" w:rsidRPr="00425F98" w:rsidRDefault="00C54B26" w:rsidP="00425F98">
      <w:pPr>
        <w:spacing w:after="0"/>
        <w:rPr>
          <w:rFonts w:ascii="Garamond" w:hAnsi="Garamond"/>
          <w:sz w:val="26"/>
          <w:szCs w:val="26"/>
          <w:lang w:val="fr-FR"/>
        </w:rPr>
      </w:pPr>
      <w:r w:rsidRPr="00425F98">
        <w:rPr>
          <w:rFonts w:ascii="Garamond" w:hAnsi="Garamond"/>
          <w:sz w:val="26"/>
          <w:szCs w:val="26"/>
          <w:lang w:val="fr-FR"/>
        </w:rPr>
        <w:t>L'objectif global du projet vise à compléter et consolider la base des données existant au niveau de la DDFAJC et à faciliter la prise de décision pour la planification des infrastructures et des équipements forestiers.</w:t>
      </w:r>
    </w:p>
    <w:p w14:paraId="7CDE41A4" w14:textId="277A2568" w:rsidR="00C54B26" w:rsidRPr="00425F98" w:rsidRDefault="00C54B26" w:rsidP="00425F98">
      <w:pPr>
        <w:shd w:val="clear" w:color="auto" w:fill="FFFFFF"/>
        <w:spacing w:after="0" w:line="240" w:lineRule="auto"/>
        <w:jc w:val="both"/>
        <w:rPr>
          <w:rFonts w:ascii="Garamond" w:hAnsi="Garamond"/>
          <w:sz w:val="26"/>
          <w:szCs w:val="26"/>
          <w:lang w:val="fr-FR"/>
        </w:rPr>
      </w:pPr>
      <w:r w:rsidRPr="00425F98">
        <w:rPr>
          <w:rFonts w:ascii="Garamond" w:hAnsi="Garamond"/>
          <w:sz w:val="26"/>
          <w:szCs w:val="26"/>
          <w:lang w:val="fr-FR"/>
        </w:rPr>
        <w:t>Pour La réalisation de cet objectif global, les cinq principaux livrables que Targa va fournir à la DDFAJC sont les suivants :</w:t>
      </w:r>
    </w:p>
    <w:p w14:paraId="3C300D60" w14:textId="77777777" w:rsidR="00C54B26" w:rsidRPr="00425F98" w:rsidRDefault="00C54B26" w:rsidP="00425F98">
      <w:pPr>
        <w:spacing w:after="0"/>
        <w:jc w:val="both"/>
        <w:rPr>
          <w:rFonts w:ascii="Garamond" w:hAnsi="Garamond"/>
          <w:sz w:val="26"/>
          <w:szCs w:val="26"/>
          <w:lang w:val="fr-FR"/>
        </w:rPr>
      </w:pPr>
      <w:r w:rsidRPr="00425F98">
        <w:rPr>
          <w:rFonts w:ascii="Garamond" w:hAnsi="Garamond"/>
          <w:sz w:val="26"/>
          <w:szCs w:val="26"/>
          <w:lang w:val="fr-FR"/>
        </w:rPr>
        <w:t xml:space="preserve">I/- Un shapefiles de la voirie national forestière corrigé avec cartes et BDD </w:t>
      </w:r>
    </w:p>
    <w:p w14:paraId="1A7DF232" w14:textId="77777777" w:rsidR="00C54B26" w:rsidRPr="00425F98" w:rsidRDefault="00C54B26" w:rsidP="00425F98">
      <w:pPr>
        <w:spacing w:after="0"/>
        <w:jc w:val="both"/>
        <w:rPr>
          <w:rFonts w:ascii="Garamond" w:hAnsi="Garamond"/>
          <w:sz w:val="26"/>
          <w:szCs w:val="26"/>
          <w:lang w:val="fr-FR"/>
        </w:rPr>
      </w:pPr>
      <w:r w:rsidRPr="00425F98">
        <w:rPr>
          <w:rFonts w:ascii="Garamond" w:hAnsi="Garamond"/>
          <w:sz w:val="26"/>
          <w:szCs w:val="26"/>
          <w:lang w:val="fr-FR"/>
        </w:rPr>
        <w:t xml:space="preserve">II/- Un shapefiles des équipements national forestière corrigé avec cartes et BDD </w:t>
      </w:r>
    </w:p>
    <w:p w14:paraId="6CC1253A" w14:textId="77777777" w:rsidR="00C54B26" w:rsidRPr="00425F98" w:rsidRDefault="00C54B26" w:rsidP="00425F98">
      <w:pPr>
        <w:spacing w:after="0"/>
        <w:jc w:val="both"/>
        <w:rPr>
          <w:rFonts w:ascii="Garamond" w:hAnsi="Garamond"/>
          <w:sz w:val="26"/>
          <w:szCs w:val="26"/>
          <w:lang w:val="fr-FR"/>
        </w:rPr>
      </w:pPr>
      <w:r w:rsidRPr="00425F98">
        <w:rPr>
          <w:rFonts w:ascii="Garamond" w:hAnsi="Garamond"/>
          <w:sz w:val="26"/>
          <w:szCs w:val="26"/>
          <w:lang w:val="fr-FR"/>
        </w:rPr>
        <w:t xml:space="preserve">III/- Un shapefiles du réseau national de la voirie avec cartes et BDD </w:t>
      </w:r>
    </w:p>
    <w:p w14:paraId="48BE23B2" w14:textId="77777777" w:rsidR="00C54B26" w:rsidRPr="00425F98" w:rsidRDefault="00C54B26" w:rsidP="00425F98">
      <w:pPr>
        <w:spacing w:after="0"/>
        <w:jc w:val="both"/>
        <w:rPr>
          <w:rFonts w:ascii="Garamond" w:hAnsi="Garamond"/>
          <w:sz w:val="26"/>
          <w:szCs w:val="26"/>
          <w:lang w:val="fr-FR"/>
        </w:rPr>
      </w:pPr>
      <w:r w:rsidRPr="00425F98">
        <w:rPr>
          <w:rFonts w:ascii="Garamond" w:hAnsi="Garamond"/>
          <w:sz w:val="26"/>
          <w:szCs w:val="26"/>
          <w:lang w:val="fr-FR"/>
        </w:rPr>
        <w:t xml:space="preserve">IV/- Un shapefiles des projets programmées de la voirie avec cartes et BDD </w:t>
      </w:r>
    </w:p>
    <w:p w14:paraId="789CAD94" w14:textId="03A11057" w:rsidR="002A04D3" w:rsidRPr="002A04D3" w:rsidRDefault="00C54B26" w:rsidP="00425F98">
      <w:pPr>
        <w:spacing w:after="0"/>
        <w:jc w:val="both"/>
        <w:rPr>
          <w:rFonts w:ascii="Garamond" w:hAnsi="Garamond"/>
          <w:sz w:val="26"/>
          <w:szCs w:val="26"/>
          <w:lang w:val="fr-FR"/>
        </w:rPr>
      </w:pPr>
      <w:r w:rsidRPr="00425F98">
        <w:rPr>
          <w:rFonts w:ascii="Garamond" w:hAnsi="Garamond"/>
          <w:sz w:val="26"/>
          <w:szCs w:val="26"/>
          <w:lang w:val="fr-FR"/>
        </w:rPr>
        <w:t>V/- Un Atlas régionale des équipements et des infrastructures forestiers en papier et numérique</w:t>
      </w:r>
    </w:p>
    <w:p w14:paraId="32719716" w14:textId="77777777" w:rsidR="002A04D3" w:rsidRPr="002A04D3" w:rsidRDefault="002A04D3" w:rsidP="002A04D3">
      <w:pPr>
        <w:shd w:val="clear" w:color="auto" w:fill="FFFFFF"/>
        <w:spacing w:after="150" w:line="240" w:lineRule="auto"/>
        <w:jc w:val="both"/>
        <w:rPr>
          <w:rFonts w:ascii="Helvetica" w:eastAsia="Times New Roman" w:hAnsi="Helvetica" w:cs="Helvetica"/>
          <w:color w:val="666666"/>
          <w:sz w:val="21"/>
          <w:szCs w:val="21"/>
          <w:lang w:eastAsia="fr-MA"/>
        </w:rPr>
      </w:pPr>
      <w:r w:rsidRPr="002A04D3">
        <w:rPr>
          <w:rFonts w:ascii="Helvetica" w:eastAsia="Times New Roman" w:hAnsi="Helvetica" w:cs="Helvetica"/>
          <w:b/>
          <w:bCs/>
          <w:color w:val="FF6600"/>
          <w:sz w:val="24"/>
          <w:szCs w:val="24"/>
          <w:lang w:eastAsia="fr-MA"/>
        </w:rPr>
        <w:t>Bénéficiaires :</w:t>
      </w:r>
    </w:p>
    <w:p w14:paraId="4ABDF67E" w14:textId="6B375A1F" w:rsidR="002A04D3" w:rsidRPr="002A04D3" w:rsidRDefault="002A04D3" w:rsidP="002A04D3">
      <w:pPr>
        <w:shd w:val="clear" w:color="auto" w:fill="FFFFFF"/>
        <w:spacing w:after="0" w:line="240" w:lineRule="auto"/>
        <w:jc w:val="both"/>
        <w:rPr>
          <w:rFonts w:ascii="Garamond" w:hAnsi="Garamond"/>
          <w:sz w:val="26"/>
          <w:szCs w:val="26"/>
          <w:lang w:val="fr-FR"/>
        </w:rPr>
      </w:pPr>
      <w:r w:rsidRPr="002A04D3">
        <w:rPr>
          <w:rFonts w:ascii="Garamond" w:hAnsi="Garamond"/>
          <w:sz w:val="26"/>
          <w:szCs w:val="26"/>
          <w:lang w:val="fr-FR"/>
        </w:rPr>
        <w:t xml:space="preserve">12 </w:t>
      </w:r>
      <w:r w:rsidR="00425F98">
        <w:rPr>
          <w:rFonts w:ascii="Garamond" w:hAnsi="Garamond"/>
          <w:sz w:val="26"/>
          <w:szCs w:val="26"/>
          <w:lang w:val="fr-FR"/>
        </w:rPr>
        <w:t xml:space="preserve">Direction Régionales des Eaux et </w:t>
      </w:r>
      <w:r w:rsidR="004F55EA">
        <w:rPr>
          <w:rFonts w:ascii="Garamond" w:hAnsi="Garamond"/>
          <w:sz w:val="26"/>
          <w:szCs w:val="26"/>
          <w:lang w:val="fr-FR"/>
        </w:rPr>
        <w:t>F</w:t>
      </w:r>
      <w:r w:rsidR="00425F98">
        <w:rPr>
          <w:rFonts w:ascii="Garamond" w:hAnsi="Garamond"/>
          <w:sz w:val="26"/>
          <w:szCs w:val="26"/>
          <w:lang w:val="fr-FR"/>
        </w:rPr>
        <w:t>orêts (DREF</w:t>
      </w:r>
      <w:proofErr w:type="gramStart"/>
      <w:r w:rsidR="00425F98">
        <w:rPr>
          <w:rFonts w:ascii="Garamond" w:hAnsi="Garamond"/>
          <w:sz w:val="26"/>
          <w:szCs w:val="26"/>
          <w:lang w:val="fr-FR"/>
        </w:rPr>
        <w:t>)</w:t>
      </w:r>
      <w:r w:rsidR="00425F98" w:rsidRPr="002A04D3">
        <w:rPr>
          <w:rFonts w:ascii="Garamond" w:hAnsi="Garamond"/>
          <w:sz w:val="26"/>
          <w:szCs w:val="26"/>
          <w:lang w:val="fr-FR"/>
        </w:rPr>
        <w:t>;</w:t>
      </w:r>
      <w:proofErr w:type="gramEnd"/>
    </w:p>
    <w:p w14:paraId="74A60EE5" w14:textId="3FBAB2A4" w:rsidR="002A04D3" w:rsidRPr="002A04D3" w:rsidRDefault="00425F98" w:rsidP="002A04D3">
      <w:pPr>
        <w:shd w:val="clear" w:color="auto" w:fill="FFFFFF"/>
        <w:spacing w:after="0" w:line="240" w:lineRule="auto"/>
        <w:jc w:val="both"/>
        <w:rPr>
          <w:rFonts w:ascii="Garamond" w:hAnsi="Garamond"/>
          <w:sz w:val="26"/>
          <w:szCs w:val="26"/>
          <w:lang w:val="fr-FR"/>
        </w:rPr>
      </w:pPr>
      <w:r>
        <w:rPr>
          <w:rFonts w:ascii="Garamond" w:hAnsi="Garamond"/>
          <w:sz w:val="26"/>
          <w:szCs w:val="26"/>
          <w:lang w:val="fr-FR"/>
        </w:rPr>
        <w:t>57</w:t>
      </w:r>
      <w:r w:rsidR="002A04D3" w:rsidRPr="002A04D3">
        <w:rPr>
          <w:rFonts w:ascii="Garamond" w:hAnsi="Garamond"/>
          <w:sz w:val="26"/>
          <w:szCs w:val="26"/>
          <w:lang w:val="fr-FR"/>
        </w:rPr>
        <w:t xml:space="preserve"> </w:t>
      </w:r>
      <w:r>
        <w:rPr>
          <w:rFonts w:ascii="Garamond" w:hAnsi="Garamond"/>
          <w:sz w:val="26"/>
          <w:szCs w:val="26"/>
          <w:lang w:val="fr-FR"/>
        </w:rPr>
        <w:t xml:space="preserve">Direction </w:t>
      </w:r>
      <w:r>
        <w:rPr>
          <w:rFonts w:ascii="Garamond" w:hAnsi="Garamond"/>
          <w:sz w:val="26"/>
          <w:szCs w:val="26"/>
          <w:lang w:val="fr-FR"/>
        </w:rPr>
        <w:t>Provinci</w:t>
      </w:r>
      <w:r>
        <w:rPr>
          <w:rFonts w:ascii="Garamond" w:hAnsi="Garamond"/>
          <w:sz w:val="26"/>
          <w:szCs w:val="26"/>
          <w:lang w:val="fr-FR"/>
        </w:rPr>
        <w:t xml:space="preserve">ales des Eaux et </w:t>
      </w:r>
      <w:r>
        <w:rPr>
          <w:rFonts w:ascii="Garamond" w:hAnsi="Garamond"/>
          <w:sz w:val="26"/>
          <w:szCs w:val="26"/>
          <w:lang w:val="fr-FR"/>
        </w:rPr>
        <w:t>F</w:t>
      </w:r>
      <w:r>
        <w:rPr>
          <w:rFonts w:ascii="Garamond" w:hAnsi="Garamond"/>
          <w:sz w:val="26"/>
          <w:szCs w:val="26"/>
          <w:lang w:val="fr-FR"/>
        </w:rPr>
        <w:t>orêts</w:t>
      </w:r>
      <w:r w:rsidR="00116470">
        <w:rPr>
          <w:rFonts w:ascii="Garamond" w:hAnsi="Garamond"/>
          <w:sz w:val="26"/>
          <w:szCs w:val="26"/>
          <w:lang w:val="fr-FR"/>
        </w:rPr>
        <w:t xml:space="preserve"> (DPEF)</w:t>
      </w:r>
      <w:r>
        <w:rPr>
          <w:rFonts w:ascii="Garamond" w:hAnsi="Garamond"/>
          <w:sz w:val="26"/>
          <w:szCs w:val="26"/>
          <w:lang w:val="fr-FR"/>
        </w:rPr>
        <w:t xml:space="preserve"> </w:t>
      </w:r>
      <w:r w:rsidR="002A04D3" w:rsidRPr="002A04D3">
        <w:rPr>
          <w:rFonts w:ascii="Garamond" w:hAnsi="Garamond"/>
          <w:sz w:val="26"/>
          <w:szCs w:val="26"/>
          <w:lang w:val="fr-FR"/>
        </w:rPr>
        <w:t>;</w:t>
      </w:r>
    </w:p>
    <w:p w14:paraId="0B4776EB" w14:textId="6B4BAB8D" w:rsidR="004F55EA" w:rsidRDefault="004F55EA" w:rsidP="002A04D3">
      <w:pPr>
        <w:shd w:val="clear" w:color="auto" w:fill="FFFFFF"/>
        <w:spacing w:after="0" w:line="240" w:lineRule="auto"/>
        <w:jc w:val="both"/>
        <w:rPr>
          <w:rFonts w:ascii="Garamond" w:hAnsi="Garamond"/>
          <w:sz w:val="26"/>
          <w:szCs w:val="26"/>
          <w:lang w:val="fr-FR"/>
        </w:rPr>
      </w:pPr>
      <w:r>
        <w:rPr>
          <w:rFonts w:ascii="Garamond" w:hAnsi="Garamond"/>
          <w:sz w:val="26"/>
          <w:szCs w:val="26"/>
          <w:lang w:val="fr-FR"/>
        </w:rPr>
        <w:t xml:space="preserve">119 </w:t>
      </w:r>
      <w:r w:rsidRPr="002A04D3">
        <w:rPr>
          <w:rFonts w:ascii="Garamond" w:hAnsi="Garamond"/>
          <w:sz w:val="26"/>
          <w:szCs w:val="26"/>
          <w:lang w:val="fr-FR"/>
        </w:rPr>
        <w:t>Centre</w:t>
      </w:r>
      <w:r>
        <w:rPr>
          <w:rFonts w:ascii="Garamond" w:hAnsi="Garamond"/>
          <w:sz w:val="26"/>
          <w:szCs w:val="26"/>
          <w:lang w:val="fr-FR"/>
        </w:rPr>
        <w:t xml:space="preserve"> de Conservation et de Développement des Ressources Forestières</w:t>
      </w:r>
      <w:r w:rsidR="00116470">
        <w:rPr>
          <w:rFonts w:ascii="Garamond" w:hAnsi="Garamond"/>
          <w:sz w:val="26"/>
          <w:szCs w:val="26"/>
          <w:lang w:val="fr-FR"/>
        </w:rPr>
        <w:t xml:space="preserve"> (CCDRF)</w:t>
      </w:r>
      <w:r>
        <w:rPr>
          <w:rFonts w:ascii="Garamond" w:hAnsi="Garamond"/>
          <w:sz w:val="26"/>
          <w:szCs w:val="26"/>
          <w:lang w:val="fr-FR"/>
        </w:rPr>
        <w:t> ;</w:t>
      </w:r>
    </w:p>
    <w:p w14:paraId="21966034" w14:textId="3AADF8B1" w:rsidR="002A04D3" w:rsidRPr="002A04D3" w:rsidRDefault="004F55EA" w:rsidP="002A04D3">
      <w:pPr>
        <w:shd w:val="clear" w:color="auto" w:fill="FFFFFF"/>
        <w:spacing w:after="0" w:line="240" w:lineRule="auto"/>
        <w:jc w:val="both"/>
        <w:rPr>
          <w:rFonts w:ascii="Garamond" w:hAnsi="Garamond"/>
          <w:sz w:val="26"/>
          <w:szCs w:val="26"/>
          <w:lang w:val="fr-FR"/>
        </w:rPr>
      </w:pPr>
      <w:r>
        <w:rPr>
          <w:rFonts w:ascii="Garamond" w:hAnsi="Garamond"/>
          <w:sz w:val="26"/>
          <w:szCs w:val="26"/>
          <w:lang w:val="fr-FR"/>
        </w:rPr>
        <w:t xml:space="preserve">424 Secteurs Forestiers.     </w:t>
      </w:r>
    </w:p>
    <w:p w14:paraId="6F814513" w14:textId="77777777" w:rsidR="002A04D3" w:rsidRDefault="002A04D3" w:rsidP="002A04D3">
      <w:pPr>
        <w:pStyle w:val="Paragraphedeliste"/>
        <w:ind w:left="0"/>
      </w:pPr>
    </w:p>
    <w:sectPr w:rsidR="002A04D3" w:rsidSect="00E73E16">
      <w:pgSz w:w="12240" w:h="15840"/>
      <w:pgMar w:top="993" w:right="758" w:bottom="567"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4B4C3" w14:textId="77777777" w:rsidR="00CB48BB" w:rsidRDefault="00CB48BB" w:rsidP="00425F98">
      <w:pPr>
        <w:spacing w:after="0" w:line="240" w:lineRule="auto"/>
      </w:pPr>
      <w:r>
        <w:separator/>
      </w:r>
    </w:p>
  </w:endnote>
  <w:endnote w:type="continuationSeparator" w:id="0">
    <w:p w14:paraId="711DB793" w14:textId="77777777" w:rsidR="00CB48BB" w:rsidRDefault="00CB48BB" w:rsidP="00425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36FBC" w14:textId="77777777" w:rsidR="00CB48BB" w:rsidRDefault="00CB48BB" w:rsidP="00425F98">
      <w:pPr>
        <w:spacing w:after="0" w:line="240" w:lineRule="auto"/>
      </w:pPr>
      <w:r>
        <w:separator/>
      </w:r>
    </w:p>
  </w:footnote>
  <w:footnote w:type="continuationSeparator" w:id="0">
    <w:p w14:paraId="0322C0BD" w14:textId="77777777" w:rsidR="00CB48BB" w:rsidRDefault="00CB48BB" w:rsidP="00425F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55827"/>
    <w:multiLevelType w:val="hybridMultilevel"/>
    <w:tmpl w:val="3EC8ED64"/>
    <w:lvl w:ilvl="0" w:tplc="00000019">
      <w:start w:val="1"/>
      <w:numFmt w:val="bullet"/>
      <w:lvlText w:val=""/>
      <w:lvlJc w:val="left"/>
      <w:pPr>
        <w:ind w:left="720" w:hanging="360"/>
      </w:pPr>
      <w:rPr>
        <w:rFonts w:ascii="Symbol" w:hAnsi="Symbol" w:cs="Symbol"/>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1" w15:restartNumberingAfterBreak="0">
    <w:nsid w:val="25AB40BA"/>
    <w:multiLevelType w:val="hybridMultilevel"/>
    <w:tmpl w:val="CAF6FB7E"/>
    <w:lvl w:ilvl="0" w:tplc="D4F8AE5A">
      <w:start w:val="1"/>
      <w:numFmt w:val="bullet"/>
      <w:lvlText w:val=""/>
      <w:lvlJc w:val="left"/>
      <w:pPr>
        <w:tabs>
          <w:tab w:val="num" w:pos="720"/>
        </w:tabs>
        <w:ind w:left="720" w:hanging="360"/>
      </w:pPr>
      <w:rPr>
        <w:rFonts w:ascii="Wingdings" w:hAnsi="Wingdings" w:hint="default"/>
      </w:rPr>
    </w:lvl>
    <w:lvl w:ilvl="1" w:tplc="425AF5BA" w:tentative="1">
      <w:start w:val="1"/>
      <w:numFmt w:val="bullet"/>
      <w:lvlText w:val=""/>
      <w:lvlJc w:val="left"/>
      <w:pPr>
        <w:tabs>
          <w:tab w:val="num" w:pos="1440"/>
        </w:tabs>
        <w:ind w:left="1440" w:hanging="360"/>
      </w:pPr>
      <w:rPr>
        <w:rFonts w:ascii="Wingdings" w:hAnsi="Wingdings" w:hint="default"/>
      </w:rPr>
    </w:lvl>
    <w:lvl w:ilvl="2" w:tplc="646035BE" w:tentative="1">
      <w:start w:val="1"/>
      <w:numFmt w:val="bullet"/>
      <w:lvlText w:val=""/>
      <w:lvlJc w:val="left"/>
      <w:pPr>
        <w:tabs>
          <w:tab w:val="num" w:pos="2160"/>
        </w:tabs>
        <w:ind w:left="2160" w:hanging="360"/>
      </w:pPr>
      <w:rPr>
        <w:rFonts w:ascii="Wingdings" w:hAnsi="Wingdings" w:hint="default"/>
      </w:rPr>
    </w:lvl>
    <w:lvl w:ilvl="3" w:tplc="44A020F4" w:tentative="1">
      <w:start w:val="1"/>
      <w:numFmt w:val="bullet"/>
      <w:lvlText w:val=""/>
      <w:lvlJc w:val="left"/>
      <w:pPr>
        <w:tabs>
          <w:tab w:val="num" w:pos="2880"/>
        </w:tabs>
        <w:ind w:left="2880" w:hanging="360"/>
      </w:pPr>
      <w:rPr>
        <w:rFonts w:ascii="Wingdings" w:hAnsi="Wingdings" w:hint="default"/>
      </w:rPr>
    </w:lvl>
    <w:lvl w:ilvl="4" w:tplc="8D964F6C" w:tentative="1">
      <w:start w:val="1"/>
      <w:numFmt w:val="bullet"/>
      <w:lvlText w:val=""/>
      <w:lvlJc w:val="left"/>
      <w:pPr>
        <w:tabs>
          <w:tab w:val="num" w:pos="3600"/>
        </w:tabs>
        <w:ind w:left="3600" w:hanging="360"/>
      </w:pPr>
      <w:rPr>
        <w:rFonts w:ascii="Wingdings" w:hAnsi="Wingdings" w:hint="default"/>
      </w:rPr>
    </w:lvl>
    <w:lvl w:ilvl="5" w:tplc="68C49182" w:tentative="1">
      <w:start w:val="1"/>
      <w:numFmt w:val="bullet"/>
      <w:lvlText w:val=""/>
      <w:lvlJc w:val="left"/>
      <w:pPr>
        <w:tabs>
          <w:tab w:val="num" w:pos="4320"/>
        </w:tabs>
        <w:ind w:left="4320" w:hanging="360"/>
      </w:pPr>
      <w:rPr>
        <w:rFonts w:ascii="Wingdings" w:hAnsi="Wingdings" w:hint="default"/>
      </w:rPr>
    </w:lvl>
    <w:lvl w:ilvl="6" w:tplc="CCEC1198" w:tentative="1">
      <w:start w:val="1"/>
      <w:numFmt w:val="bullet"/>
      <w:lvlText w:val=""/>
      <w:lvlJc w:val="left"/>
      <w:pPr>
        <w:tabs>
          <w:tab w:val="num" w:pos="5040"/>
        </w:tabs>
        <w:ind w:left="5040" w:hanging="360"/>
      </w:pPr>
      <w:rPr>
        <w:rFonts w:ascii="Wingdings" w:hAnsi="Wingdings" w:hint="default"/>
      </w:rPr>
    </w:lvl>
    <w:lvl w:ilvl="7" w:tplc="31EA65A0" w:tentative="1">
      <w:start w:val="1"/>
      <w:numFmt w:val="bullet"/>
      <w:lvlText w:val=""/>
      <w:lvlJc w:val="left"/>
      <w:pPr>
        <w:tabs>
          <w:tab w:val="num" w:pos="5760"/>
        </w:tabs>
        <w:ind w:left="5760" w:hanging="360"/>
      </w:pPr>
      <w:rPr>
        <w:rFonts w:ascii="Wingdings" w:hAnsi="Wingdings" w:hint="default"/>
      </w:rPr>
    </w:lvl>
    <w:lvl w:ilvl="8" w:tplc="19BCC87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800546"/>
    <w:multiLevelType w:val="hybridMultilevel"/>
    <w:tmpl w:val="0FB02FA4"/>
    <w:lvl w:ilvl="0" w:tplc="12FCA9E0">
      <w:start w:val="1"/>
      <w:numFmt w:val="bullet"/>
      <w:lvlText w:val=""/>
      <w:lvlJc w:val="left"/>
      <w:pPr>
        <w:tabs>
          <w:tab w:val="num" w:pos="720"/>
        </w:tabs>
        <w:ind w:left="720" w:hanging="360"/>
      </w:pPr>
      <w:rPr>
        <w:rFonts w:ascii="Wingdings" w:hAnsi="Wingdings" w:hint="default"/>
      </w:rPr>
    </w:lvl>
    <w:lvl w:ilvl="1" w:tplc="8B2CA82E" w:tentative="1">
      <w:start w:val="1"/>
      <w:numFmt w:val="bullet"/>
      <w:lvlText w:val=""/>
      <w:lvlJc w:val="left"/>
      <w:pPr>
        <w:tabs>
          <w:tab w:val="num" w:pos="1440"/>
        </w:tabs>
        <w:ind w:left="1440" w:hanging="360"/>
      </w:pPr>
      <w:rPr>
        <w:rFonts w:ascii="Wingdings" w:hAnsi="Wingdings" w:hint="default"/>
      </w:rPr>
    </w:lvl>
    <w:lvl w:ilvl="2" w:tplc="8E2A57FE" w:tentative="1">
      <w:start w:val="1"/>
      <w:numFmt w:val="bullet"/>
      <w:lvlText w:val=""/>
      <w:lvlJc w:val="left"/>
      <w:pPr>
        <w:tabs>
          <w:tab w:val="num" w:pos="2160"/>
        </w:tabs>
        <w:ind w:left="2160" w:hanging="360"/>
      </w:pPr>
      <w:rPr>
        <w:rFonts w:ascii="Wingdings" w:hAnsi="Wingdings" w:hint="default"/>
      </w:rPr>
    </w:lvl>
    <w:lvl w:ilvl="3" w:tplc="11E036A6" w:tentative="1">
      <w:start w:val="1"/>
      <w:numFmt w:val="bullet"/>
      <w:lvlText w:val=""/>
      <w:lvlJc w:val="left"/>
      <w:pPr>
        <w:tabs>
          <w:tab w:val="num" w:pos="2880"/>
        </w:tabs>
        <w:ind w:left="2880" w:hanging="360"/>
      </w:pPr>
      <w:rPr>
        <w:rFonts w:ascii="Wingdings" w:hAnsi="Wingdings" w:hint="default"/>
      </w:rPr>
    </w:lvl>
    <w:lvl w:ilvl="4" w:tplc="C924FD76" w:tentative="1">
      <w:start w:val="1"/>
      <w:numFmt w:val="bullet"/>
      <w:lvlText w:val=""/>
      <w:lvlJc w:val="left"/>
      <w:pPr>
        <w:tabs>
          <w:tab w:val="num" w:pos="3600"/>
        </w:tabs>
        <w:ind w:left="3600" w:hanging="360"/>
      </w:pPr>
      <w:rPr>
        <w:rFonts w:ascii="Wingdings" w:hAnsi="Wingdings" w:hint="default"/>
      </w:rPr>
    </w:lvl>
    <w:lvl w:ilvl="5" w:tplc="488C7D1E" w:tentative="1">
      <w:start w:val="1"/>
      <w:numFmt w:val="bullet"/>
      <w:lvlText w:val=""/>
      <w:lvlJc w:val="left"/>
      <w:pPr>
        <w:tabs>
          <w:tab w:val="num" w:pos="4320"/>
        </w:tabs>
        <w:ind w:left="4320" w:hanging="360"/>
      </w:pPr>
      <w:rPr>
        <w:rFonts w:ascii="Wingdings" w:hAnsi="Wingdings" w:hint="default"/>
      </w:rPr>
    </w:lvl>
    <w:lvl w:ilvl="6" w:tplc="48D81BE8" w:tentative="1">
      <w:start w:val="1"/>
      <w:numFmt w:val="bullet"/>
      <w:lvlText w:val=""/>
      <w:lvlJc w:val="left"/>
      <w:pPr>
        <w:tabs>
          <w:tab w:val="num" w:pos="5040"/>
        </w:tabs>
        <w:ind w:left="5040" w:hanging="360"/>
      </w:pPr>
      <w:rPr>
        <w:rFonts w:ascii="Wingdings" w:hAnsi="Wingdings" w:hint="default"/>
      </w:rPr>
    </w:lvl>
    <w:lvl w:ilvl="7" w:tplc="DB66655A" w:tentative="1">
      <w:start w:val="1"/>
      <w:numFmt w:val="bullet"/>
      <w:lvlText w:val=""/>
      <w:lvlJc w:val="left"/>
      <w:pPr>
        <w:tabs>
          <w:tab w:val="num" w:pos="5760"/>
        </w:tabs>
        <w:ind w:left="5760" w:hanging="360"/>
      </w:pPr>
      <w:rPr>
        <w:rFonts w:ascii="Wingdings" w:hAnsi="Wingdings" w:hint="default"/>
      </w:rPr>
    </w:lvl>
    <w:lvl w:ilvl="8" w:tplc="CDBE933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D56DC8"/>
    <w:multiLevelType w:val="hybridMultilevel"/>
    <w:tmpl w:val="CF966BF6"/>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4" w15:restartNumberingAfterBreak="0">
    <w:nsid w:val="5D7A644F"/>
    <w:multiLevelType w:val="hybridMultilevel"/>
    <w:tmpl w:val="F0BE3BC0"/>
    <w:lvl w:ilvl="0" w:tplc="040C0009">
      <w:start w:val="1"/>
      <w:numFmt w:val="bullet"/>
      <w:lvlText w:val=""/>
      <w:lvlJc w:val="left"/>
      <w:pPr>
        <w:ind w:left="1440" w:hanging="360"/>
      </w:pPr>
      <w:rPr>
        <w:rFonts w:ascii="Wingdings" w:hAnsi="Wingdings" w:hint="default"/>
      </w:rPr>
    </w:lvl>
    <w:lvl w:ilvl="1" w:tplc="380C0003" w:tentative="1">
      <w:start w:val="1"/>
      <w:numFmt w:val="bullet"/>
      <w:lvlText w:val="o"/>
      <w:lvlJc w:val="left"/>
      <w:pPr>
        <w:ind w:left="2160" w:hanging="360"/>
      </w:pPr>
      <w:rPr>
        <w:rFonts w:ascii="Courier New" w:hAnsi="Courier New" w:cs="Courier New" w:hint="default"/>
      </w:rPr>
    </w:lvl>
    <w:lvl w:ilvl="2" w:tplc="380C0005" w:tentative="1">
      <w:start w:val="1"/>
      <w:numFmt w:val="bullet"/>
      <w:lvlText w:val=""/>
      <w:lvlJc w:val="left"/>
      <w:pPr>
        <w:ind w:left="2880" w:hanging="360"/>
      </w:pPr>
      <w:rPr>
        <w:rFonts w:ascii="Wingdings" w:hAnsi="Wingdings" w:hint="default"/>
      </w:rPr>
    </w:lvl>
    <w:lvl w:ilvl="3" w:tplc="380C0001" w:tentative="1">
      <w:start w:val="1"/>
      <w:numFmt w:val="bullet"/>
      <w:lvlText w:val=""/>
      <w:lvlJc w:val="left"/>
      <w:pPr>
        <w:ind w:left="3600" w:hanging="360"/>
      </w:pPr>
      <w:rPr>
        <w:rFonts w:ascii="Symbol" w:hAnsi="Symbol" w:hint="default"/>
      </w:rPr>
    </w:lvl>
    <w:lvl w:ilvl="4" w:tplc="380C0003" w:tentative="1">
      <w:start w:val="1"/>
      <w:numFmt w:val="bullet"/>
      <w:lvlText w:val="o"/>
      <w:lvlJc w:val="left"/>
      <w:pPr>
        <w:ind w:left="4320" w:hanging="360"/>
      </w:pPr>
      <w:rPr>
        <w:rFonts w:ascii="Courier New" w:hAnsi="Courier New" w:cs="Courier New" w:hint="default"/>
      </w:rPr>
    </w:lvl>
    <w:lvl w:ilvl="5" w:tplc="380C0005" w:tentative="1">
      <w:start w:val="1"/>
      <w:numFmt w:val="bullet"/>
      <w:lvlText w:val=""/>
      <w:lvlJc w:val="left"/>
      <w:pPr>
        <w:ind w:left="5040" w:hanging="360"/>
      </w:pPr>
      <w:rPr>
        <w:rFonts w:ascii="Wingdings" w:hAnsi="Wingdings" w:hint="default"/>
      </w:rPr>
    </w:lvl>
    <w:lvl w:ilvl="6" w:tplc="380C0001" w:tentative="1">
      <w:start w:val="1"/>
      <w:numFmt w:val="bullet"/>
      <w:lvlText w:val=""/>
      <w:lvlJc w:val="left"/>
      <w:pPr>
        <w:ind w:left="5760" w:hanging="360"/>
      </w:pPr>
      <w:rPr>
        <w:rFonts w:ascii="Symbol" w:hAnsi="Symbol" w:hint="default"/>
      </w:rPr>
    </w:lvl>
    <w:lvl w:ilvl="7" w:tplc="380C0003" w:tentative="1">
      <w:start w:val="1"/>
      <w:numFmt w:val="bullet"/>
      <w:lvlText w:val="o"/>
      <w:lvlJc w:val="left"/>
      <w:pPr>
        <w:ind w:left="6480" w:hanging="360"/>
      </w:pPr>
      <w:rPr>
        <w:rFonts w:ascii="Courier New" w:hAnsi="Courier New" w:cs="Courier New" w:hint="default"/>
      </w:rPr>
    </w:lvl>
    <w:lvl w:ilvl="8" w:tplc="380C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85A"/>
    <w:rsid w:val="0006485A"/>
    <w:rsid w:val="00116470"/>
    <w:rsid w:val="001F7F38"/>
    <w:rsid w:val="002A04D3"/>
    <w:rsid w:val="0036133E"/>
    <w:rsid w:val="00425F98"/>
    <w:rsid w:val="00441CF2"/>
    <w:rsid w:val="004F55EA"/>
    <w:rsid w:val="005211D1"/>
    <w:rsid w:val="00675AEB"/>
    <w:rsid w:val="00777F78"/>
    <w:rsid w:val="009820EA"/>
    <w:rsid w:val="00C54B26"/>
    <w:rsid w:val="00C80696"/>
    <w:rsid w:val="00CB48BB"/>
    <w:rsid w:val="00E02A74"/>
    <w:rsid w:val="00E73E16"/>
    <w:rsid w:val="00F27C33"/>
  </w:rsids>
  <m:mathPr>
    <m:mathFont m:val="Cambria Math"/>
    <m:brkBin m:val="before"/>
    <m:brkBinSub m:val="--"/>
    <m:smallFrac m:val="0"/>
    <m:dispDef/>
    <m:lMargin m:val="0"/>
    <m:rMargin m:val="0"/>
    <m:defJc m:val="centerGroup"/>
    <m:wrapIndent m:val="1440"/>
    <m:intLim m:val="subSup"/>
    <m:naryLim m:val="undOvr"/>
  </m:mathPr>
  <w:themeFontLang w:val="fr-M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B045B"/>
  <w15:chartTrackingRefBased/>
  <w15:docId w15:val="{57B94DA8-B684-469B-87B7-E3316E508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M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6485A"/>
    <w:pPr>
      <w:spacing w:before="100" w:beforeAutospacing="1" w:after="100" w:afterAutospacing="1" w:line="240" w:lineRule="auto"/>
    </w:pPr>
    <w:rPr>
      <w:rFonts w:ascii="Times New Roman" w:eastAsia="Times New Roman" w:hAnsi="Times New Roman" w:cs="Times New Roman"/>
      <w:sz w:val="24"/>
      <w:szCs w:val="24"/>
      <w:lang w:eastAsia="fr-MA"/>
    </w:rPr>
  </w:style>
  <w:style w:type="paragraph" w:styleId="Paragraphedeliste">
    <w:name w:val="List Paragraph"/>
    <w:aliases w:val="Llista Nivell1,Lista de nivel 1,Paragraphe de liste PBLH,Bullet Points,Liste Paragraf,Corps du texte,Table of contents numbered,Renkli Liste - Vurgu 11,Liste Paragraf1,Bullet OFM,List Paragraph1,List Paragraph in table,Heading 2_sj"/>
    <w:basedOn w:val="Normal"/>
    <w:link w:val="ParagraphedelisteCar"/>
    <w:uiPriority w:val="99"/>
    <w:qFormat/>
    <w:rsid w:val="00441CF2"/>
    <w:pPr>
      <w:ind w:left="720"/>
      <w:contextualSpacing/>
    </w:pPr>
  </w:style>
  <w:style w:type="character" w:styleId="lev">
    <w:name w:val="Strong"/>
    <w:basedOn w:val="Policepardfaut"/>
    <w:uiPriority w:val="22"/>
    <w:qFormat/>
    <w:rsid w:val="002A04D3"/>
    <w:rPr>
      <w:b/>
      <w:bCs/>
    </w:rPr>
  </w:style>
  <w:style w:type="character" w:customStyle="1" w:styleId="ParagraphedelisteCar">
    <w:name w:val="Paragraphe de liste Car"/>
    <w:aliases w:val="Llista Nivell1 Car,Lista de nivel 1 Car,Paragraphe de liste PBLH Car,Bullet Points Car,Liste Paragraf Car,Corps du texte Car,Table of contents numbered Car,Renkli Liste - Vurgu 11 Car,Liste Paragraf1 Car,Bullet OFM Car"/>
    <w:link w:val="Paragraphedeliste"/>
    <w:uiPriority w:val="99"/>
    <w:qFormat/>
    <w:rsid w:val="00F27C33"/>
  </w:style>
  <w:style w:type="paragraph" w:styleId="En-tte">
    <w:name w:val="header"/>
    <w:basedOn w:val="Normal"/>
    <w:link w:val="En-tteCar"/>
    <w:uiPriority w:val="99"/>
    <w:unhideWhenUsed/>
    <w:rsid w:val="00425F98"/>
    <w:pPr>
      <w:tabs>
        <w:tab w:val="center" w:pos="4703"/>
        <w:tab w:val="right" w:pos="9406"/>
      </w:tabs>
      <w:spacing w:after="0" w:line="240" w:lineRule="auto"/>
    </w:pPr>
  </w:style>
  <w:style w:type="character" w:customStyle="1" w:styleId="En-tteCar">
    <w:name w:val="En-tête Car"/>
    <w:basedOn w:val="Policepardfaut"/>
    <w:link w:val="En-tte"/>
    <w:uiPriority w:val="99"/>
    <w:rsid w:val="00425F98"/>
  </w:style>
  <w:style w:type="paragraph" w:styleId="Pieddepage">
    <w:name w:val="footer"/>
    <w:basedOn w:val="Normal"/>
    <w:link w:val="PieddepageCar"/>
    <w:uiPriority w:val="99"/>
    <w:unhideWhenUsed/>
    <w:rsid w:val="00425F98"/>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425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30907">
      <w:bodyDiv w:val="1"/>
      <w:marLeft w:val="0"/>
      <w:marRight w:val="0"/>
      <w:marTop w:val="0"/>
      <w:marBottom w:val="0"/>
      <w:divBdr>
        <w:top w:val="none" w:sz="0" w:space="0" w:color="auto"/>
        <w:left w:val="none" w:sz="0" w:space="0" w:color="auto"/>
        <w:bottom w:val="none" w:sz="0" w:space="0" w:color="auto"/>
        <w:right w:val="none" w:sz="0" w:space="0" w:color="auto"/>
      </w:divBdr>
    </w:div>
    <w:div w:id="464352305">
      <w:bodyDiv w:val="1"/>
      <w:marLeft w:val="0"/>
      <w:marRight w:val="0"/>
      <w:marTop w:val="0"/>
      <w:marBottom w:val="0"/>
      <w:divBdr>
        <w:top w:val="none" w:sz="0" w:space="0" w:color="auto"/>
        <w:left w:val="none" w:sz="0" w:space="0" w:color="auto"/>
        <w:bottom w:val="none" w:sz="0" w:space="0" w:color="auto"/>
        <w:right w:val="none" w:sz="0" w:space="0" w:color="auto"/>
      </w:divBdr>
      <w:divsChild>
        <w:div w:id="1864896839">
          <w:marLeft w:val="446"/>
          <w:marRight w:val="0"/>
          <w:marTop w:val="0"/>
          <w:marBottom w:val="0"/>
          <w:divBdr>
            <w:top w:val="none" w:sz="0" w:space="0" w:color="auto"/>
            <w:left w:val="none" w:sz="0" w:space="0" w:color="auto"/>
            <w:bottom w:val="none" w:sz="0" w:space="0" w:color="auto"/>
            <w:right w:val="none" w:sz="0" w:space="0" w:color="auto"/>
          </w:divBdr>
        </w:div>
        <w:div w:id="1108744173">
          <w:marLeft w:val="446"/>
          <w:marRight w:val="0"/>
          <w:marTop w:val="0"/>
          <w:marBottom w:val="0"/>
          <w:divBdr>
            <w:top w:val="none" w:sz="0" w:space="0" w:color="auto"/>
            <w:left w:val="none" w:sz="0" w:space="0" w:color="auto"/>
            <w:bottom w:val="none" w:sz="0" w:space="0" w:color="auto"/>
            <w:right w:val="none" w:sz="0" w:space="0" w:color="auto"/>
          </w:divBdr>
        </w:div>
        <w:div w:id="1273123440">
          <w:marLeft w:val="446"/>
          <w:marRight w:val="0"/>
          <w:marTop w:val="0"/>
          <w:marBottom w:val="0"/>
          <w:divBdr>
            <w:top w:val="none" w:sz="0" w:space="0" w:color="auto"/>
            <w:left w:val="none" w:sz="0" w:space="0" w:color="auto"/>
            <w:bottom w:val="none" w:sz="0" w:space="0" w:color="auto"/>
            <w:right w:val="none" w:sz="0" w:space="0" w:color="auto"/>
          </w:divBdr>
        </w:div>
        <w:div w:id="117072496">
          <w:marLeft w:val="446"/>
          <w:marRight w:val="0"/>
          <w:marTop w:val="0"/>
          <w:marBottom w:val="0"/>
          <w:divBdr>
            <w:top w:val="none" w:sz="0" w:space="0" w:color="auto"/>
            <w:left w:val="none" w:sz="0" w:space="0" w:color="auto"/>
            <w:bottom w:val="none" w:sz="0" w:space="0" w:color="auto"/>
            <w:right w:val="none" w:sz="0" w:space="0" w:color="auto"/>
          </w:divBdr>
        </w:div>
        <w:div w:id="1150171664">
          <w:marLeft w:val="446"/>
          <w:marRight w:val="0"/>
          <w:marTop w:val="0"/>
          <w:marBottom w:val="0"/>
          <w:divBdr>
            <w:top w:val="none" w:sz="0" w:space="0" w:color="auto"/>
            <w:left w:val="none" w:sz="0" w:space="0" w:color="auto"/>
            <w:bottom w:val="none" w:sz="0" w:space="0" w:color="auto"/>
            <w:right w:val="none" w:sz="0" w:space="0" w:color="auto"/>
          </w:divBdr>
        </w:div>
        <w:div w:id="1083259879">
          <w:marLeft w:val="446"/>
          <w:marRight w:val="0"/>
          <w:marTop w:val="0"/>
          <w:marBottom w:val="0"/>
          <w:divBdr>
            <w:top w:val="none" w:sz="0" w:space="0" w:color="auto"/>
            <w:left w:val="none" w:sz="0" w:space="0" w:color="auto"/>
            <w:bottom w:val="none" w:sz="0" w:space="0" w:color="auto"/>
            <w:right w:val="none" w:sz="0" w:space="0" w:color="auto"/>
          </w:divBdr>
        </w:div>
      </w:divsChild>
    </w:div>
    <w:div w:id="1540587301">
      <w:bodyDiv w:val="1"/>
      <w:marLeft w:val="0"/>
      <w:marRight w:val="0"/>
      <w:marTop w:val="0"/>
      <w:marBottom w:val="0"/>
      <w:divBdr>
        <w:top w:val="none" w:sz="0" w:space="0" w:color="auto"/>
        <w:left w:val="none" w:sz="0" w:space="0" w:color="auto"/>
        <w:bottom w:val="none" w:sz="0" w:space="0" w:color="auto"/>
        <w:right w:val="none" w:sz="0" w:space="0" w:color="auto"/>
      </w:divBdr>
    </w:div>
    <w:div w:id="1672100656">
      <w:bodyDiv w:val="1"/>
      <w:marLeft w:val="0"/>
      <w:marRight w:val="0"/>
      <w:marTop w:val="0"/>
      <w:marBottom w:val="0"/>
      <w:divBdr>
        <w:top w:val="none" w:sz="0" w:space="0" w:color="auto"/>
        <w:left w:val="none" w:sz="0" w:space="0" w:color="auto"/>
        <w:bottom w:val="none" w:sz="0" w:space="0" w:color="auto"/>
        <w:right w:val="none" w:sz="0" w:space="0" w:color="auto"/>
      </w:divBdr>
    </w:div>
    <w:div w:id="1696887681">
      <w:bodyDiv w:val="1"/>
      <w:marLeft w:val="0"/>
      <w:marRight w:val="0"/>
      <w:marTop w:val="0"/>
      <w:marBottom w:val="0"/>
      <w:divBdr>
        <w:top w:val="none" w:sz="0" w:space="0" w:color="auto"/>
        <w:left w:val="none" w:sz="0" w:space="0" w:color="auto"/>
        <w:bottom w:val="none" w:sz="0" w:space="0" w:color="auto"/>
        <w:right w:val="none" w:sz="0" w:space="0" w:color="auto"/>
      </w:divBdr>
    </w:div>
    <w:div w:id="198253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1</Pages>
  <Words>478</Words>
  <Characters>2635</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Yassine SAKKA</dc:creator>
  <cp:keywords/>
  <dc:description/>
  <cp:lastModifiedBy>Yassine SAKKA</cp:lastModifiedBy>
  <cp:revision>7</cp:revision>
  <dcterms:created xsi:type="dcterms:W3CDTF">2021-04-21T09:23:00Z</dcterms:created>
  <dcterms:modified xsi:type="dcterms:W3CDTF">2021-05-05T15:05:00Z</dcterms:modified>
</cp:coreProperties>
</file>